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charts/chart3.xml" ContentType="application/vnd.openxmlformats-officedocument.drawingml.chart+xml"/>
  <Override PartName="/word/charts/colors8.xml" ContentType="application/vnd.ms-office.chartcolorstyle+xml"/>
  <Override PartName="/word/charts/style6.xml" ContentType="application/vnd.ms-office.chartstyle+xml"/>
  <Override PartName="/word/header1.xml" ContentType="application/vnd.openxmlformats-officedocument.wordprocessingml.header+xml"/>
  <Override PartName="/word/numbering.xml" ContentType="application/vnd.openxmlformats-officedocument.wordprocessingml.numbering+xml"/>
  <Override PartName="/word/charts/chart8.xml" ContentType="application/vnd.openxmlformats-officedocument.drawingml.chart+xml"/>
  <Override PartName="/word/charts/colors3.xml" ContentType="application/vnd.ms-office.chartcolorstyle+xml"/>
  <Override PartName="/word/settings.xml" ContentType="application/vnd.openxmlformats-officedocument.wordprocessingml.settings+xml"/>
  <Override PartName="/word/charts/colors5.xml" ContentType="application/vnd.ms-office.chartcolorstyle+xml"/>
  <Override PartName="/word/charts/chart4.xml" ContentType="application/vnd.openxmlformats-officedocument.drawingml.chart+xml"/>
  <Override PartName="/word/charts/colors4.xml" ContentType="application/vnd.ms-office.chartcolorstyle+xml"/>
  <Override PartName="/word/document.xml" ContentType="application/vnd.openxmlformats-officedocument.wordprocessingml.document.main+xml"/>
  <Override PartName="/word/charts/style1.xml" ContentType="application/vnd.ms-office.chartstyle+xml"/>
  <Override PartName="/word/charts/style5.xml" ContentType="application/vnd.ms-office.chartstyle+xml"/>
  <Override PartName="/word/styles.xml" ContentType="application/vnd.openxmlformats-officedocument.wordprocessingml.styles+xml"/>
  <Override PartName="/docProps/app.xml" ContentType="application/vnd.openxmlformats-officedocument.extended-properties+xml"/>
  <Override PartName="/word/charts/colors1.xml" ContentType="application/vnd.ms-office.chartcolorstyle+xml"/>
  <Override PartName="/word/fontTable.xml" ContentType="application/vnd.openxmlformats-officedocument.wordprocessingml.fontTable+xml"/>
  <Override PartName="/word/charts/style8.xml" ContentType="application/vnd.ms-office.chartstyle+xml"/>
  <Override PartName="/word/charts/chart5.xml" ContentType="application/vnd.openxmlformats-officedocument.drawingml.chart+xml"/>
  <Override PartName="/word/charts/colors6.xml" ContentType="application/vnd.ms-office.chartcolorstyle+xml"/>
  <Override PartName="/docProps/core.xml" ContentType="application/vnd.openxmlformats-package.core-properties+xml"/>
  <Override PartName="/word/charts/chart1.xml" ContentType="application/vnd.openxmlformats-officedocument.drawingml.chart+xml"/>
  <Override PartName="/word/charts/style2.xml" ContentType="application/vnd.ms-office.chartstyle+xml"/>
  <Override PartName="/word/charts/style4.xml" ContentType="application/vnd.ms-office.chartstyle+xml"/>
  <Override PartName="/docProps/custom.xml" ContentType="application/vnd.openxmlformats-officedocument.custom-properties+xml"/>
  <Override PartName="/word/charts/colors2.xml" ContentType="application/vnd.ms-office.chartcolorstyle+xml"/>
  <Override PartName="/word/header2.xml" ContentType="application/vnd.openxmlformats-officedocument.wordprocessingml.header+xml"/>
  <Override PartName="/word/charts/chart6.xml" ContentType="application/vnd.openxmlformats-officedocument.drawingml.chart+xml"/>
  <Override PartName="/word/charts/colors7.xml" ContentType="application/vnd.ms-office.chartcolorstyle+xml"/>
  <Override PartName="/word/charts/chart7.xml" ContentType="application/vnd.openxmlformats-officedocument.drawingml.chart+xml"/>
  <Override PartName="/word/charts/chart2.xml" ContentType="application/vnd.openxmlformats-officedocument.drawingml.chart+xml"/>
  <Override PartName="/word/charts/style7.xml" ContentType="application/vnd.ms-office.chartstyle+xml"/>
  <Override PartName="/word/charts/style3.xml" ContentType="application/vnd.ms-office.chartstyle+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ABA Therapy for Thumb Sucking</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ABA Therapy for Thumb Sucking</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Abstract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This paper is an analysis for the ABA treatment of finger sucking of two-five years old girls. The research takes two parts: phase 1 functional analysis results revealed that the habit of the two girls had the highest occurrence during fingers- free condition (alone condition). Therefore, an automatic reinforcement maintained the behavior. The phase to analysis pointed out that engaging the hands of both girls reduced thumb- sucking. The treatment involved the holding of a ball for each child in alone condition. The treatment reduced the occurrence of finger sucking to zero for one participant, whereas the other should moderate reduction. However, the particular participant responded well with positive punishment.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Research holds that thumb sucking is familiar with children aged 1 to 4, and the occurrence ranges from 23% to 46% (Tanaka et al., 2016).  The behavior needs to be curbed before it extends age 4 and affects the developmental health of a child. This paper will explore the thumb sucking behavior of two girls aged 5. The research aims to give a clear understanding of how alternating measurement would be conducted in an ABA design.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Literature </w:t>
      </w:r>
      <w:r>
        <w:rPr>
          <w:rFonts w:ascii="Times New Roman" w:cs="Times New Roman" w:hAnsi="Times New Roman"/>
          <w:sz w:val="24"/>
          <w:szCs w:val="24"/>
        </w:rPr>
        <w:t>Review</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According to research by Woods and </w:t>
      </w:r>
      <w:r>
        <w:rPr>
          <w:rFonts w:ascii="Times New Roman" w:cs="Times New Roman" w:hAnsi="Times New Roman"/>
          <w:sz w:val="24"/>
          <w:szCs w:val="24"/>
        </w:rPr>
        <w:t>Miltenberger</w:t>
      </w:r>
      <w:r>
        <w:rPr>
          <w:rFonts w:ascii="Times New Roman" w:cs="Times New Roman" w:hAnsi="Times New Roman"/>
          <w:sz w:val="24"/>
          <w:szCs w:val="24"/>
        </w:rPr>
        <w:t xml:space="preserve"> (2006), there are typically two types of thumb sucking: nutritive and non- nutritive sucking. The nutritive sucking involves bottle- feedings and breastfeeding while the non- nutritive sucking involves sucking on objects that are not nutritive. Finger- sucking is the standard non- nutritive sucking. Woods and </w:t>
      </w:r>
      <w:r>
        <w:rPr>
          <w:rFonts w:ascii="Times New Roman" w:cs="Times New Roman" w:hAnsi="Times New Roman"/>
          <w:sz w:val="24"/>
          <w:szCs w:val="24"/>
        </w:rPr>
        <w:t>Miltenberger</w:t>
      </w:r>
      <w:r>
        <w:rPr>
          <w:rFonts w:ascii="Times New Roman" w:cs="Times New Roman" w:hAnsi="Times New Roman"/>
          <w:sz w:val="24"/>
          <w:szCs w:val="24"/>
        </w:rPr>
        <w:t xml:space="preserve"> </w:t>
      </w:r>
      <w:r>
        <w:rPr>
          <w:rFonts w:ascii="Times New Roman" w:cs="Times New Roman" w:hAnsi="Times New Roman"/>
          <w:sz w:val="24"/>
          <w:szCs w:val="24"/>
        </w:rPr>
        <w:t>(2006), hold that finger sucking can be chronic if it occurs in two or more places e.g., home and school.</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Bishara</w:t>
      </w:r>
      <w:r>
        <w:rPr>
          <w:rFonts w:ascii="Times New Roman" w:cs="Times New Roman" w:hAnsi="Times New Roman"/>
          <w:sz w:val="24"/>
          <w:szCs w:val="24"/>
        </w:rPr>
        <w:t xml:space="preserve"> and Larsson (2007) point out that thumb sucking need to be addressed during the oral phase rest it extends to the next developmental stage. Meeting the sucking needs of an infant refers to fixing of the problem. Also, the scholars hold that thumb sucking habit extends to late developmental stages due to lack of social support and treatment.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Research by </w:t>
      </w:r>
      <w:r>
        <w:rPr>
          <w:rFonts w:ascii="Times New Roman" w:cs="Times New Roman" w:hAnsi="Times New Roman"/>
          <w:sz w:val="24"/>
          <w:szCs w:val="24"/>
        </w:rPr>
        <w:t>Asadollahpour</w:t>
      </w:r>
      <w:r>
        <w:rPr>
          <w:rFonts w:ascii="Times New Roman" w:cs="Times New Roman" w:hAnsi="Times New Roman"/>
          <w:sz w:val="24"/>
          <w:szCs w:val="24"/>
        </w:rPr>
        <w:t xml:space="preserve"> et al. (2015) show reflects that digital sucking is the root cause of tooth mal-position and displacement of the alveolar bone. The latter brings about adverse effects on speech and aesthetics. The results may not bother children because they are always indifferent. However, if the </w:t>
      </w:r>
      <w:r>
        <w:rPr>
          <w:rFonts w:ascii="Times New Roman" w:cs="Times New Roman" w:hAnsi="Times New Roman"/>
          <w:sz w:val="24"/>
          <w:szCs w:val="24"/>
        </w:rPr>
        <w:t>impact advances</w:t>
      </w:r>
      <w:r>
        <w:rPr>
          <w:rFonts w:ascii="Times New Roman" w:cs="Times New Roman" w:hAnsi="Times New Roman"/>
          <w:sz w:val="24"/>
          <w:szCs w:val="24"/>
        </w:rPr>
        <w:t xml:space="preserve"> to their later growth, they become a personal concern.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Research questions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researched answers three questions: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Does one type of intervention treat a finger sucking</w:t>
      </w:r>
      <w:r>
        <w:rPr>
          <w:rFonts w:ascii="Times New Roman" w:cs="Times New Roman" w:hAnsi="Times New Roman"/>
          <w:sz w:val="24"/>
          <w:szCs w:val="24"/>
        </w:rPr>
        <w:t xml:space="preserve"> habit of two or more children?</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How does a response with social reinforcement affect finger sucking occurrences?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How can an alternate measurement be conducted in an ABA design?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Method</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Participants</w:t>
      </w:r>
    </w:p>
    <w:p>
      <w:pPr>
        <w:pStyle w:val="style179"/>
        <w:numPr>
          <w:ilvl w:val="0"/>
          <w:numId w:val="9"/>
        </w:numPr>
        <w:spacing w:lineRule="auto" w:line="480"/>
        <w:jc w:val="both"/>
        <w:rPr>
          <w:rFonts w:ascii="Times New Roman" w:cs="Times New Roman" w:hAnsi="Times New Roman"/>
          <w:sz w:val="24"/>
          <w:szCs w:val="24"/>
        </w:rPr>
      </w:pPr>
      <w:r>
        <w:rPr>
          <w:rFonts w:ascii="Times New Roman" w:cs="Times New Roman" w:hAnsi="Times New Roman"/>
          <w:sz w:val="24"/>
          <w:szCs w:val="24"/>
        </w:rPr>
        <w:t>ABA therapy for thumb sucking involve</w:t>
      </w:r>
      <w:r>
        <w:rPr>
          <w:rFonts w:ascii="Times New Roman" w:cs="Times New Roman" w:hAnsi="Times New Roman"/>
          <w:sz w:val="24"/>
          <w:szCs w:val="24"/>
        </w:rPr>
        <w:t>s three groups of participants:</w:t>
      </w:r>
    </w:p>
    <w:p>
      <w:pPr>
        <w:pStyle w:val="style179"/>
        <w:numPr>
          <w:ilvl w:val="0"/>
          <w:numId w:val="9"/>
        </w:numPr>
        <w:spacing w:lineRule="auto" w:line="480"/>
        <w:jc w:val="both"/>
        <w:rPr>
          <w:rFonts w:ascii="Times New Roman" w:cs="Times New Roman" w:hAnsi="Times New Roman"/>
          <w:sz w:val="24"/>
          <w:szCs w:val="24"/>
        </w:rPr>
      </w:pPr>
      <w:r>
        <w:rPr>
          <w:rFonts w:ascii="Times New Roman" w:cs="Times New Roman" w:hAnsi="Times New Roman"/>
          <w:sz w:val="24"/>
          <w:szCs w:val="24"/>
        </w:rPr>
        <w:t>Two five years old girls (Jane and Mary)</w:t>
      </w:r>
    </w:p>
    <w:p>
      <w:pPr>
        <w:pStyle w:val="style179"/>
        <w:numPr>
          <w:ilvl w:val="0"/>
          <w:numId w:val="9"/>
        </w:numPr>
        <w:spacing w:lineRule="auto" w:line="480"/>
        <w:jc w:val="both"/>
        <w:rPr>
          <w:rFonts w:ascii="Times New Roman" w:cs="Times New Roman" w:hAnsi="Times New Roman"/>
          <w:sz w:val="24"/>
          <w:szCs w:val="24"/>
        </w:rPr>
      </w:pPr>
      <w:r>
        <w:rPr>
          <w:rFonts w:ascii="Times New Roman" w:cs="Times New Roman" w:hAnsi="Times New Roman"/>
          <w:sz w:val="24"/>
          <w:szCs w:val="24"/>
        </w:rPr>
        <w:t>Two mo</w:t>
      </w:r>
      <w:r>
        <w:rPr>
          <w:rFonts w:ascii="Times New Roman" w:cs="Times New Roman" w:hAnsi="Times New Roman"/>
          <w:sz w:val="24"/>
          <w:szCs w:val="24"/>
        </w:rPr>
        <w:t>thers (parents to Jane and Mary)</w:t>
      </w:r>
    </w:p>
    <w:p>
      <w:pPr>
        <w:pStyle w:val="style179"/>
        <w:numPr>
          <w:ilvl w:val="0"/>
          <w:numId w:val="9"/>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Researchers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Research </w:t>
      </w:r>
      <w:r>
        <w:rPr>
          <w:rFonts w:ascii="Times New Roman" w:cs="Times New Roman" w:hAnsi="Times New Roman"/>
          <w:sz w:val="24"/>
          <w:szCs w:val="24"/>
        </w:rPr>
        <w:t>Setting</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development of Jane and Mary was healthily, and each was five years old, about to join the first grade. According to Jane's mother, the habit of thumb sucking developed since birth. However, Jane tried all kinds of destructors to stop the practice, but due to the commitment and lack of consistency in her efforts, the habit persisted. Some of the strategies the mother used to eliminate her daughter's thumb sucking included the application of aversive substances as the use of balls and taping Jane's fingers (Tanaka et al., 2016). The mother noted that Jane could suck her fingers while alone and also in the presence of family members. She could thumb- suck while listening to bedtime stories, watching television alone, and while she was in bed. She sucked the third and the fourth fingers of the right hand but occasionally, she could suck from either hand.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Mary, on the other hands, could turn six years in three months time. Her mother reported that the thumb- a sucking habit developed since her infanthood (Yadav 2017). The finger- sucking was intense and occurred while she was alone in bed, and when watching the television. Like Jane's mother, Mary's mother tried to wear her gloves as destructors, but she still continued thumb sucking. Sometimes she could bandage her daughter's fingers, but the intervention was unsuccessful due to the problem of long- term follow up (Tanaka et al., 2016). Mary could suck her third and fourth fingers of the right hand. Another socking behavior was that Mary could strike her face with the fingers of the other hand, not sucked.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Research </w:t>
      </w:r>
      <w:r>
        <w:rPr>
          <w:rFonts w:ascii="Times New Roman" w:cs="Times New Roman" w:hAnsi="Times New Roman"/>
          <w:sz w:val="24"/>
          <w:szCs w:val="24"/>
        </w:rPr>
        <w:t>Procedures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Thumb sucking was the target behavior to eliminate both Jane and Mary. The intervention took place in two phases: the first phase involves observing finger sucking behavior for the two participants while they spent time with their mothers and phase two involved observing the </w:t>
      </w:r>
      <w:r>
        <w:rPr>
          <w:rFonts w:ascii="Times New Roman" w:cs="Times New Roman" w:hAnsi="Times New Roman"/>
          <w:sz w:val="24"/>
          <w:szCs w:val="24"/>
        </w:rPr>
        <w:t xml:space="preserve">behavior the occurrence of thumb- sucking for each participant while in her living room. Both phases required the use of videotapes to calculate the percentage of each individual participant's behavior.  Data collection occurred in 10 and 20 mini- segments through videotaping. However, scores for each segment depended on a real-time videotape recording. The observers agreed to divide each segment into 600 seconds on the scoring sheet (Yadav 2017). Therefore, the occurrence and </w:t>
      </w:r>
      <w:r>
        <w:rPr>
          <w:rFonts w:ascii="Times New Roman" w:cs="Times New Roman" w:hAnsi="Times New Roman"/>
          <w:sz w:val="24"/>
          <w:szCs w:val="24"/>
        </w:rPr>
        <w:t>nonoccurrence</w:t>
      </w:r>
      <w:r>
        <w:rPr>
          <w:rFonts w:ascii="Times New Roman" w:cs="Times New Roman" w:hAnsi="Times New Roman"/>
          <w:sz w:val="24"/>
          <w:szCs w:val="24"/>
        </w:rPr>
        <w:t xml:space="preserve"> of thumb sucking were recorded on the second basis, and each segment independently. The observers divided the number of seconds spends thumb- sucking with 600 seconds (the number of seconds for each segment). The second step involved the calculation of the mean percentage for the occurrence or non- occurrence of thumb sucking for each participant (y/600 x 100).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mean score for Jane's thumb sucking was 89.1 %, and that of Mary was 94. 8 %. Then, the evaluation of finger sucking was based under two conditions: finger free (lone condition) and attenuation condition. The researchers instructed both mothers to withdraw their attention during the baseline period and to engage during the intervention period. The intervention process involved the mothers giving each individual child a ball to hold in order to engage both hands. The ball acted as a destructor. Therefore, the functional analyses for the two children involved alternating free hand with sensory attenuation (Tanaka et al., 2016). During the freehand session, each mother could let her child watch television alone and instruct her not to interfere with what the mother was doing. On the other hand, sensory attenuation session involved social engagement of the child in a play- like activity. Each mother could act friendly to the child by giving her a ball to play with and the show social support. On a different functional analysis instance, the children could be given a ball to hold during bedtime session. The conditions in which the researchers placed the children had the following importance:</w:t>
      </w:r>
    </w:p>
    <w:p>
      <w:pPr>
        <w:pStyle w:val="style179"/>
        <w:numPr>
          <w:ilvl w:val="0"/>
          <w:numId w:val="10"/>
        </w:numPr>
        <w:spacing w:lineRule="auto" w:line="480"/>
        <w:jc w:val="both"/>
        <w:rPr>
          <w:rFonts w:ascii="Times New Roman" w:cs="Times New Roman" w:hAnsi="Times New Roman"/>
          <w:sz w:val="24"/>
          <w:szCs w:val="24"/>
        </w:rPr>
      </w:pPr>
      <w:r>
        <w:rPr>
          <w:rFonts w:ascii="Times New Roman" w:cs="Times New Roman" w:hAnsi="Times New Roman"/>
          <w:sz w:val="24"/>
          <w:szCs w:val="24"/>
        </w:rPr>
        <w:t>Attention condition: it facilitated the assessment of whether positive social reinforcement maintained the finger sucking habit. The mother could neglect the child but keep observing if she could suck her fingers (Yadav 2017). If the sucking happened, the mother could disapprove the child's habit for approximately five seconds, and then resume her duties</w:t>
      </w:r>
      <w:r>
        <w:rPr>
          <w:rFonts w:ascii="Times New Roman" w:cs="Times New Roman" w:hAnsi="Times New Roman"/>
          <w:sz w:val="24"/>
          <w:szCs w:val="24"/>
        </w:rPr>
        <w:t>.</w:t>
      </w:r>
    </w:p>
    <w:p>
      <w:pPr>
        <w:pStyle w:val="style179"/>
        <w:numPr>
          <w:ilvl w:val="0"/>
          <w:numId w:val="10"/>
        </w:numPr>
        <w:spacing w:lineRule="auto" w:line="480"/>
        <w:jc w:val="both"/>
        <w:rPr>
          <w:rFonts w:ascii="Times New Roman" w:cs="Times New Roman" w:hAnsi="Times New Roman"/>
          <w:sz w:val="24"/>
          <w:szCs w:val="24"/>
        </w:rPr>
      </w:pPr>
      <w:r>
        <w:rPr>
          <w:rFonts w:ascii="Times New Roman" w:cs="Times New Roman" w:hAnsi="Times New Roman"/>
          <w:sz w:val="24"/>
          <w:szCs w:val="24"/>
        </w:rPr>
        <w:t>Fingers free condition: it was designed to assess how often the baby could finger- suck in the absence of social support.</w:t>
      </w:r>
    </w:p>
    <w:p>
      <w:pPr>
        <w:pStyle w:val="style179"/>
        <w:numPr>
          <w:ilvl w:val="0"/>
          <w:numId w:val="10"/>
        </w:numPr>
        <w:spacing w:lineRule="auto" w:line="480"/>
        <w:jc w:val="both"/>
        <w:rPr>
          <w:rFonts w:ascii="Times New Roman" w:cs="Times New Roman" w:hAnsi="Times New Roman"/>
          <w:sz w:val="24"/>
          <w:szCs w:val="24"/>
        </w:rPr>
      </w:pPr>
      <w:r>
        <w:rPr>
          <w:rFonts w:ascii="Times New Roman" w:cs="Times New Roman" w:hAnsi="Times New Roman"/>
          <w:sz w:val="24"/>
          <w:szCs w:val="24"/>
        </w:rPr>
        <w:t>Control condition: this condition facilitated physical attention and involved each mother playing with her child using a ball. The ball could make each child engaged and therefore destruct the habit. Also, the researchers instructed the mothers not to disapprove the children if they sucked the fingers during the control condition.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Results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Phase 1</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Phase 1 testing of the participants' reactions under different conditions occurred over a one month period. The results for the occurrence of thumb sucking were recorded under each condition. The results for each participant were as follows: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Jane: Finger sucking recorded high during the finger free condition. The child was alone, and therefore, she comforted herself through finger- sucking. The percentage for thumb sucking was 73. 5%. The percentage went up when the lone condition (fingers- free condition) was repeated for the second and third time (95. 4%). However, the children portrayed a substantially lower level of finder sucking with the attention condition (50. 7). Jane's mother exposed her to the attention condition for three sessions, and by the third session, the percentage for Jane's finger sucking habit recorded zero. Under this condition, the mother seemed to punish Jane's finger sucking. However, </w:t>
      </w:r>
      <w:r>
        <w:rPr>
          <w:rFonts w:ascii="Times New Roman" w:cs="Times New Roman" w:hAnsi="Times New Roman"/>
          <w:sz w:val="24"/>
          <w:szCs w:val="24"/>
        </w:rPr>
        <w:t xml:space="preserve">finger sucking did not occur with the control condition. This indicated that positive social reinforcement made the girl stay engaged, and therefore, she could not find time to finger suck. The occurrence of finger sucking during Jane's nap was zero. She slept holding a ball which could not allow her to finger- suck.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Mary: the finger sucking habit seemed to be high during the lone condition (fingers- free). It went up to 51. 8%. However, the attention condition seemed effective for curbing Mary's finger sucking habit because it reduced to 50.6% and the dropped to zero during the second exposure. The results suggest that social disapproval of the finger sucking habit acted as the destructor. There was no occurrence of finger sucking with the control condition, but when her mother gave her a ball to hold in her bed, she dropped it and preferred sucking her fingers. The percentage for finger- sucking in her nap was 47 — 4 %. However, the repetition of this condition resulted in substantially lower level 39. 5%.</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Phase one results did not give a clear suggestion for the correct intervention method. For Jane, the introduction of a ball seemed to curb the finger- sucking habit (Tanaka et al., 2016). She recorded positive results with the introduction of the ball during the control condition session. However, she also responded positively to her mother's disapproval of her finger- sucking. With the napping condition, while holding a ball, the results give a dim suggestion that Jane could stop her finger- sucking habits if her hands stay engaged. </w:t>
      </w:r>
    </w:p>
    <w:p>
      <w:pPr>
        <w:pStyle w:val="style0"/>
        <w:spacing w:lineRule="auto" w:line="480"/>
        <w:ind w:firstLine="720"/>
        <w:jc w:val="both"/>
        <w:rPr>
          <w:rFonts w:ascii="Times New Roman" w:cs="Times New Roman" w:hAnsi="Times New Roman"/>
          <w:sz w:val="24"/>
          <w:szCs w:val="24"/>
        </w:rPr>
      </w:pPr>
      <w:r>
        <w:rPr>
          <w:noProof/>
          <w:lang w:eastAsia="en-GB"/>
        </w:rPr>
        <w:drawing>
          <wp:anchor distT="0" distB="0" distL="114300" distR="114300" simplePos="false" relativeHeight="2" behindDoc="false" locked="false" layoutInCell="true" allowOverlap="true">
            <wp:simplePos x="0" y="0"/>
            <wp:positionH relativeFrom="column">
              <wp:posOffset>457200</wp:posOffset>
            </wp:positionH>
            <wp:positionV relativeFrom="paragraph">
              <wp:posOffset>0</wp:posOffset>
            </wp:positionV>
            <wp:extent cx="3200400" cy="2118360"/>
            <wp:effectExtent l="0" t="0" r="0" b="0"/>
            <wp:wrapSquare wrapText="bothSides"/>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anchor>
        </w:drawing>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noProof/>
          <w:lang w:eastAsia="en-GB"/>
        </w:rPr>
        <w:drawing>
          <wp:anchor distT="0" distB="0" distL="114300" distR="114300" simplePos="false" relativeHeight="4" behindDoc="false" locked="false" layoutInCell="true" allowOverlap="true">
            <wp:simplePos x="0" y="0"/>
            <wp:positionH relativeFrom="column">
              <wp:posOffset>411479</wp:posOffset>
            </wp:positionH>
            <wp:positionV relativeFrom="paragraph">
              <wp:posOffset>282575</wp:posOffset>
            </wp:positionV>
            <wp:extent cx="3200400" cy="2705100"/>
            <wp:effectExtent l="0" t="0" r="0" b="0"/>
            <wp:wrapSquare wrapText="bothSides"/>
            <wp:docPr id="102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anchor>
        </w:drawing>
      </w:r>
    </w:p>
    <w:bookmarkStart w:id="0" w:name="_GoBack"/>
    <w:bookmarkEnd w:id="0"/>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br w:clear="all"/>
      </w:r>
    </w:p>
    <w:p>
      <w:pPr>
        <w:pStyle w:val="style0"/>
        <w:spacing w:lineRule="auto" w:line="480"/>
        <w:ind w:firstLine="720"/>
        <w:jc w:val="both"/>
        <w:rPr>
          <w:rFonts w:ascii="Times New Roman" w:cs="Times New Roman" w:hAnsi="Times New Roman"/>
          <w:sz w:val="24"/>
          <w:szCs w:val="24"/>
        </w:rPr>
      </w:pPr>
      <w:r>
        <w:rPr>
          <w:noProof/>
          <w:lang w:eastAsia="en-GB"/>
        </w:rPr>
      </w:r>
      <w:r>
        <w:rPr>
          <w:noProof/>
          <w:lang w:eastAsia="en-GB"/>
        </w:rPr>
      </w:r>
      <w:r>
        <w:rPr>
          <w:noProof/>
          <w:lang w:eastAsia="en-GB"/>
        </w:rPr>
      </w:r>
      <w:r>
        <w:rPr>
          <w:noProof/>
          <w:lang w:eastAsia="en-GB"/>
        </w:rPr>
        <w:drawing>
          <wp:inline distL="114300" distT="0" distB="0" distR="114300">
            <wp:extent cx="3246120" cy="2552700"/>
            <wp:effectExtent l="0" t="0" r="0" b="0"/>
            <wp:docPr id="1031"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r>
        <w:rPr>
          <w:noProof/>
          <w:lang w:eastAsia="en-GB"/>
        </w:rPr>
      </w:r>
    </w:p>
    <w:p>
      <w:pPr>
        <w:pStyle w:val="style0"/>
        <w:spacing w:lineRule="auto" w:line="480"/>
        <w:ind w:firstLine="720"/>
        <w:jc w:val="both"/>
        <w:rPr>
          <w:rFonts w:ascii="Times New Roman" w:cs="Times New Roman" w:hAnsi="Times New Roman"/>
          <w:sz w:val="24"/>
          <w:szCs w:val="24"/>
        </w:rPr>
      </w:pPr>
      <w:r>
        <w:rPr>
          <w:noProof/>
          <w:lang w:eastAsia="en-GB"/>
        </w:rPr>
      </w:r>
      <w:r>
        <w:rPr>
          <w:noProof/>
          <w:lang w:eastAsia="en-GB"/>
        </w:rPr>
      </w:r>
      <w:r>
        <w:rPr>
          <w:noProof/>
          <w:lang w:eastAsia="en-GB"/>
        </w:rPr>
      </w:r>
      <w:r>
        <w:rPr>
          <w:noProof/>
          <w:lang w:eastAsia="en-GB"/>
        </w:rPr>
        <w:drawing>
          <wp:inline distL="114300" distT="0" distB="0" distR="114300">
            <wp:extent cx="3337560" cy="2659380"/>
            <wp:effectExtent l="0" t="0" r="0" b="0"/>
            <wp:docPr id="1033"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noProof/>
          <w:lang w:eastAsia="en-GB"/>
        </w:rPr>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On the other hand, Mary portrays reduced level of thumb- sucking when exposed to attention condition. Also, she does not record any finger- sucking occurrence with the control attention. </w:t>
      </w:r>
      <w:r>
        <w:rPr>
          <w:rFonts w:ascii="Times New Roman" w:cs="Times New Roman" w:hAnsi="Times New Roman"/>
          <w:sz w:val="24"/>
          <w:szCs w:val="24"/>
        </w:rPr>
        <w:t>This suggests</w:t>
      </w:r>
      <w:r>
        <w:rPr>
          <w:rFonts w:ascii="Times New Roman" w:cs="Times New Roman" w:hAnsi="Times New Roman"/>
          <w:sz w:val="24"/>
          <w:szCs w:val="24"/>
        </w:rPr>
        <w:t xml:space="preserve"> that she responds positively with both negative and positive social reinforcement. However, when her mother gives her a ball she does not find pleasure in holding it till she falls sick. Instead, she prefers sucking her fingers and therefore, the occurrence of finger- sucking in her nap counts high</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(Tanaka et al., 2016)</w:t>
      </w:r>
      <w:r>
        <w:rPr>
          <w:rFonts w:ascii="Times New Roman" w:cs="Times New Roman" w:hAnsi="Times New Roman"/>
          <w:sz w:val="24"/>
          <w:szCs w:val="24"/>
        </w:rPr>
        <w:t>.</w:t>
      </w:r>
      <w:r>
        <w:rPr>
          <w:rFonts w:ascii="Times New Roman" w:cs="Times New Roman" w:hAnsi="Times New Roman"/>
          <w:sz w:val="24"/>
          <w:szCs w:val="24"/>
        </w:rPr>
        <w:t xml:space="preserve"> For this reason, the researchers opted for a second phase of intervention but this time they used the ABA design of monitoring behavioural changes when </w:t>
      </w:r>
      <w:r>
        <w:rPr>
          <w:rFonts w:ascii="Times New Roman" w:cs="Times New Roman" w:hAnsi="Times New Roman"/>
          <w:sz w:val="24"/>
          <w:szCs w:val="24"/>
        </w:rPr>
        <w:t>reinforcement</w:t>
      </w:r>
      <w:r>
        <w:rPr>
          <w:rFonts w:ascii="Times New Roman" w:cs="Times New Roman" w:hAnsi="Times New Roman"/>
          <w:sz w:val="24"/>
          <w:szCs w:val="24"/>
        </w:rPr>
        <w:t xml:space="preserve"> was introduced and when it was withdrawn.</w:t>
      </w:r>
      <w:r>
        <w:rPr>
          <w:rFonts w:ascii="Times New Roman" w:cs="Times New Roman" w:hAnsi="Times New Roman"/>
          <w:sz w:val="24"/>
          <w:szCs w:val="24"/>
        </w:rPr>
        <w:t xml:space="preserve"> The second phase aimed at g</w:t>
      </w:r>
      <w:r>
        <w:rPr>
          <w:rFonts w:ascii="Times New Roman" w:cs="Times New Roman" w:hAnsi="Times New Roman"/>
          <w:sz w:val="24"/>
          <w:szCs w:val="24"/>
        </w:rPr>
        <w:t>etting the correct intervention.</w:t>
      </w:r>
    </w:p>
    <w:p>
      <w:pPr>
        <w:pStyle w:val="style0"/>
        <w:spacing w:lineRule="auto" w:line="480"/>
        <w:ind w:firstLine="720"/>
        <w:jc w:val="both"/>
        <w:rPr>
          <w:rFonts w:ascii="Times New Roman" w:cs="Times New Roman" w:hAnsi="Times New Roman"/>
          <w:sz w:val="24"/>
          <w:szCs w:val="24"/>
        </w:rPr>
      </w:pPr>
      <w:r>
        <w:rPr>
          <w:noProof/>
          <w:lang w:eastAsia="en-GB"/>
        </w:rPr>
        <w:drawing>
          <wp:anchor distT="0" distB="0" distL="114300" distR="114300" simplePos="false" relativeHeight="3" behindDoc="true" locked="false" layoutInCell="true" allowOverlap="true">
            <wp:simplePos x="0" y="0"/>
            <wp:positionH relativeFrom="column">
              <wp:posOffset>457200</wp:posOffset>
            </wp:positionH>
            <wp:positionV relativeFrom="paragraph">
              <wp:posOffset>0</wp:posOffset>
            </wp:positionV>
            <wp:extent cx="3040380" cy="2270760"/>
            <wp:effectExtent l="0" t="0" r="0" b="0"/>
            <wp:wrapTight wrapText="bothSides">
              <wp:wrapPolygon edited="false">
                <wp:start x="0" y="0"/>
                <wp:lineTo x="0" y="21564"/>
                <wp:lineTo x="21519" y="21564"/>
                <wp:lineTo x="21519" y="0"/>
                <wp:lineTo x="0" y="0"/>
              </wp:wrapPolygon>
            </wp:wrapTight>
            <wp:docPr id="1035"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noProof/>
          <w:lang w:eastAsia="en-GB"/>
        </w:rPr>
      </w:r>
      <w:r>
        <w:rPr>
          <w:noProof/>
          <w:lang w:eastAsia="en-GB"/>
        </w:rPr>
      </w:r>
      <w:r>
        <w:rPr>
          <w:noProof/>
          <w:lang w:eastAsia="en-GB"/>
        </w:rPr>
      </w:r>
      <w:r>
        <w:rPr>
          <w:noProof/>
          <w:lang w:eastAsia="en-GB"/>
        </w:rPr>
        <w:drawing>
          <wp:inline distL="114300" distT="0" distB="0" distR="114300">
            <wp:extent cx="3086100" cy="2491740"/>
            <wp:effectExtent l="0" t="0" r="0" b="0"/>
            <wp:docPr id="103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noProof/>
          <w:lang w:eastAsia="en-GB"/>
        </w:rPr>
      </w:r>
    </w:p>
    <w:p>
      <w:pPr>
        <w:pStyle w:val="style0"/>
        <w:spacing w:lineRule="auto" w:line="480"/>
        <w:ind w:firstLine="720"/>
        <w:jc w:val="both"/>
        <w:rPr>
          <w:rFonts w:ascii="Times New Roman" w:cs="Times New Roman" w:hAnsi="Times New Roman"/>
          <w:sz w:val="24"/>
          <w:szCs w:val="24"/>
        </w:rPr>
      </w:pPr>
      <w:r>
        <w:rPr>
          <w:noProof/>
          <w:lang w:eastAsia="en-GB"/>
        </w:rPr>
      </w:r>
      <w:r>
        <w:rPr>
          <w:noProof/>
          <w:lang w:eastAsia="en-GB"/>
        </w:rPr>
      </w:r>
      <w:r>
        <w:rPr>
          <w:noProof/>
          <w:lang w:eastAsia="en-GB"/>
        </w:rPr>
      </w:r>
      <w:r>
        <w:rPr>
          <w:noProof/>
          <w:lang w:eastAsia="en-GB"/>
        </w:rPr>
        <w:drawing>
          <wp:inline distL="114300" distT="0" distB="0" distR="114300">
            <wp:extent cx="3276600" cy="2301240"/>
            <wp:effectExtent l="0" t="0" r="0" b="0"/>
            <wp:docPr id="103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noProof/>
          <w:lang w:eastAsia="en-GB"/>
        </w:rPr>
      </w:r>
    </w:p>
    <w:p>
      <w:pPr>
        <w:pStyle w:val="style0"/>
        <w:spacing w:lineRule="auto" w:line="480"/>
        <w:ind w:firstLine="720"/>
        <w:jc w:val="both"/>
        <w:rPr>
          <w:rFonts w:ascii="Times New Roman" w:cs="Times New Roman" w:hAnsi="Times New Roman"/>
          <w:sz w:val="24"/>
          <w:szCs w:val="24"/>
        </w:rPr>
      </w:pPr>
      <w:r>
        <w:rPr>
          <w:noProof/>
          <w:lang w:eastAsia="en-GB"/>
        </w:rPr>
      </w:r>
      <w:r>
        <w:rPr>
          <w:noProof/>
          <w:lang w:eastAsia="en-GB"/>
        </w:rPr>
      </w:r>
      <w:r>
        <w:rPr>
          <w:noProof/>
          <w:lang w:eastAsia="en-GB"/>
        </w:rPr>
      </w:r>
      <w:r>
        <w:rPr>
          <w:noProof/>
          <w:lang w:eastAsia="en-GB"/>
        </w:rPr>
        <w:drawing>
          <wp:inline distL="114300" distT="0" distB="0" distR="114300">
            <wp:extent cx="3718560" cy="2689860"/>
            <wp:effectExtent l="0" t="0" r="0" b="0"/>
            <wp:docPr id="1041"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noProof/>
          <w:lang w:eastAsia="en-GB"/>
        </w:rPr>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Phase 2</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ABAB Evaluation (alternate intervention)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researchers exposed the children to alternating conditions to identify the pattern of the target behavior. The ABAB pattern is a reverse one with the pattern: Baseline – intervention- baseline- intervention. It implies that the children’s thumb-sucking habit was observed at fingers- free condition for about ten (Tanaka et al., 2016). The observers recorded data just as they did in phase 1. Then, intervention followed. It involved giving each child a ball to hold. What changed in this phase is that the parent’s social support was withdrawn. The intervention occurred for </w:t>
      </w:r>
      <w:r>
        <w:rPr>
          <w:rFonts w:ascii="Times New Roman" w:cs="Times New Roman" w:hAnsi="Times New Roman"/>
          <w:sz w:val="24"/>
          <w:szCs w:val="24"/>
        </w:rPr>
        <w:t>duration</w:t>
      </w:r>
      <w:r>
        <w:rPr>
          <w:rFonts w:ascii="Times New Roman" w:cs="Times New Roman" w:hAnsi="Times New Roman"/>
          <w:sz w:val="24"/>
          <w:szCs w:val="24"/>
        </w:rPr>
        <w:t xml:space="preserve"> of 20 minutes. The observers used videotape to record the observation. However, all the occurrences of fingers- sucking happened in a real-time recording. The intervention period was followed by the baseline period then intervention. Recording followed the same pattern for about three months.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With the ABAB pattern, Jane’s initial baseline condition resulted in 93.4% occurrence of thumb- sucking. However, the level dropped to 45.7% by the fifth segment of recording and then </w:t>
      </w:r>
      <w:r>
        <w:rPr>
          <w:rFonts w:ascii="Times New Roman" w:cs="Times New Roman" w:hAnsi="Times New Roman"/>
          <w:sz w:val="24"/>
          <w:szCs w:val="24"/>
        </w:rPr>
        <w:t>to zero by the tenth segment. With the intervention, the first data recorded 50. 6 % and then the occurrences reduced to zero by the fifth segment. For Mary, the initial baseline segment (fingers- free recording) results read high (96.2%). Then, the occurrence substantially reduced to 67% and rose to 88.7% by the tenth segment. Besides, the intervention did not function positively like the case with Jane. The initial occurrences of a finger- sucking with the intervention was high, 80% then slightly dropped to 74.7% in the second exposure and rose gradually to 89.6%. She did not show any positive results after the tenth exposure to either baseline or intervention condition. From the ABAB results, the observers drew conclusions about the best intervention method for each of the girls.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Discussion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phase 1 results suggested that the finger sucking habit of the girls did not show that their behavior was maintained by social reinforcement (Tanaka et al., 2016). Although the control condition which involved the use of the ball to engage the children through social support proved helpful, the reduction level with Mary happened with a lot of problems. It was not as easy as the case with Jane. For this reason, the use of a ball as a destructor did not prove the best intervention for Mary’s behavior. On the side of Jane, the introduction of the ball- holding resulted in the elimination of finger sucking and therefore, attributed to sensory extinction. In short, ball- holding prevented Jane from sucking her fingers, and therefore, the oral stimulation caused by finger sucking was eliminated, leading to the end of the behavior. With the ABABA pattern of curbing finger sucking, Jane responded positively while Mary remained adamant about changing. It is, therefore, evident that Mary’s thumb sucking habit can only be eliminated through punishment, the results which she portrayed positively in phase 1.</w:t>
      </w:r>
    </w:p>
    <w:p>
      <w:pPr>
        <w:pStyle w:val="style0"/>
        <w:spacing w:lineRule="auto" w:line="480"/>
        <w:jc w:val="both"/>
        <w:rPr>
          <w:rFonts w:ascii="Times New Roman" w:cs="Times New Roman" w:hAnsi="Times New Roman"/>
          <w:sz w:val="24"/>
          <w:szCs w:val="24"/>
        </w:rPr>
      </w:pPr>
      <w:r>
        <w:rPr>
          <w:rFonts w:ascii="Times New Roman" w:cs="Times New Roman" w:hAnsi="Times New Roman"/>
          <w:noProof/>
          <w:sz w:val="24"/>
          <w:szCs w:val="24"/>
          <w:lang w:val="en-GB" w:eastAsia="en-GB"/>
        </w:rPr>
        <w:drawing>
          <wp:inline distL="0" distT="0" distB="0" distR="0">
            <wp:extent cx="5643196" cy="5940546"/>
            <wp:effectExtent l="19050" t="0" r="0" b="0"/>
            <wp:docPr id="1042"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srcRect l="0" t="0" r="0" b="0"/>
                    <a:stretch/>
                  </pic:blipFill>
                  <pic:spPr>
                    <a:xfrm rot="0">
                      <a:off x="0" y="0"/>
                      <a:ext cx="5643196" cy="5940546"/>
                    </a:xfrm>
                    <a:prstGeom prst="rect"/>
                    <a:ln>
                      <a:noFill/>
                    </a:ln>
                  </pic:spPr>
                </pic:pic>
              </a:graphicData>
            </a:graphic>
          </wp:inline>
        </w:drawing>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observation made by the mothers of the two participants suggested that the effect of the researcher- conducted sessions could manifest more when family members at home. However, the two participants showed a tiny finger- sucking occurrences when they were alone (</w:t>
      </w:r>
      <w:r>
        <w:rPr>
          <w:rFonts w:ascii="Times New Roman" w:cs="Times New Roman" w:hAnsi="Times New Roman"/>
          <w:sz w:val="24"/>
          <w:szCs w:val="24"/>
        </w:rPr>
        <w:t>Altundağ</w:t>
      </w:r>
      <w:r>
        <w:rPr>
          <w:rFonts w:ascii="Times New Roman" w:cs="Times New Roman" w:hAnsi="Times New Roman"/>
          <w:sz w:val="24"/>
          <w:szCs w:val="24"/>
        </w:rPr>
        <w:t xml:space="preserve"> 2018). Also, the parents reported that social reinforcements helped considerably in reducing finger sucking. According to Jane’s mother, positive social attention worked perfectly while Mary’s mother said that she observed positive results when she disapproved her daughters sucking </w:t>
      </w:r>
      <w:r>
        <w:rPr>
          <w:rFonts w:ascii="Times New Roman" w:cs="Times New Roman" w:hAnsi="Times New Roman"/>
          <w:sz w:val="24"/>
          <w:szCs w:val="24"/>
        </w:rPr>
        <w:t xml:space="preserve">behavior. Therefore, the behavior could only be curbed through negative reinforcement (punishment).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Strengths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research provides a principal concentrate to assess the utilization of the ABA design for finger sucking in a five years old child and the primary investigation to gather social legitimacy information on its utilization (</w:t>
      </w:r>
      <w:r>
        <w:rPr>
          <w:rFonts w:ascii="Times New Roman" w:cs="Times New Roman" w:hAnsi="Times New Roman"/>
          <w:sz w:val="24"/>
          <w:szCs w:val="24"/>
        </w:rPr>
        <w:t>Altundağ</w:t>
      </w:r>
      <w:r>
        <w:rPr>
          <w:rFonts w:ascii="Times New Roman" w:cs="Times New Roman" w:hAnsi="Times New Roman"/>
          <w:sz w:val="24"/>
          <w:szCs w:val="24"/>
        </w:rPr>
        <w:t xml:space="preserve"> 2018). The outcomes recorded for Jane point out that ABA is possibly a helpful and adequate intercession for diminishing an assortment of hand-to-head habit. The high adequacy evaluations acquired from Jane and her mom, are intriguing, given that intercessions, including the utilization of discipline (particularly that of positive punishment), have been portrayed as less adequate than their social interaction. Research-based on ABA therapy should keep on acquiring harmonious appraisals from the participants (children) and their parents or guardians (</w:t>
      </w:r>
      <w:r>
        <w:rPr>
          <w:rFonts w:ascii="Times New Roman" w:cs="Times New Roman" w:hAnsi="Times New Roman"/>
          <w:sz w:val="24"/>
          <w:szCs w:val="24"/>
        </w:rPr>
        <w:t>Altundağ</w:t>
      </w:r>
      <w:r>
        <w:rPr>
          <w:rFonts w:ascii="Times New Roman" w:cs="Times New Roman" w:hAnsi="Times New Roman"/>
          <w:sz w:val="24"/>
          <w:szCs w:val="24"/>
        </w:rPr>
        <w:t xml:space="preserve"> 2018). Finally, this investigation is the first to assess the effect of a tangible attenuator (ball) in a healthy developing child. The research also is the first to assess the utilization of ABA therapy with normal working time. Since the results with the second phase show the intervention reduced the occurrence of thumb sucking without positive social reinforcement, extra research with these techniques is justifiable.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Limitations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 few constraints of this research need to be identified. In the first place, ends with respect to the particular tangible results that kept up every Child’s finger sucking could not be identified. A subsequent limitation is that decisions about the viability of the ABA for curbing finger sucking must be tempered because of the way that its presentation conditions and are liable to treatment requesting impacts (</w:t>
      </w:r>
      <w:r>
        <w:rPr>
          <w:rFonts w:ascii="Times New Roman" w:cs="Times New Roman" w:hAnsi="Times New Roman"/>
          <w:sz w:val="24"/>
          <w:szCs w:val="24"/>
        </w:rPr>
        <w:t>Altundağ</w:t>
      </w:r>
      <w:r>
        <w:rPr>
          <w:rFonts w:ascii="Times New Roman" w:cs="Times New Roman" w:hAnsi="Times New Roman"/>
          <w:sz w:val="24"/>
          <w:szCs w:val="24"/>
        </w:rPr>
        <w:t xml:space="preserve"> 2018). The observers made some errors during the estimation of </w:t>
      </w:r>
      <w:r>
        <w:rPr>
          <w:rFonts w:ascii="Times New Roman" w:cs="Times New Roman" w:hAnsi="Times New Roman"/>
          <w:sz w:val="24"/>
          <w:szCs w:val="24"/>
        </w:rPr>
        <w:t xml:space="preserve">time when occurrences of and </w:t>
      </w:r>
      <w:r>
        <w:rPr>
          <w:rFonts w:ascii="Times New Roman" w:cs="Times New Roman" w:hAnsi="Times New Roman"/>
          <w:sz w:val="24"/>
          <w:szCs w:val="24"/>
        </w:rPr>
        <w:t>nonoccurrences</w:t>
      </w:r>
      <w:r>
        <w:rPr>
          <w:rFonts w:ascii="Times New Roman" w:cs="Times New Roman" w:hAnsi="Times New Roman"/>
          <w:sz w:val="24"/>
          <w:szCs w:val="24"/>
        </w:rPr>
        <w:t xml:space="preserve"> for the thumb- sucking occurred. Also, the calculation and analysis of the data were tedious. Lastly, the research is time-consuming since it requires participants to be closely monitored. Therefore, the mothers kept an eye to the pattern of behavior for each individual child.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research creates room for future improvement in related research. First, future research should aim at expanding the practical investigation techniques for consequently fortified conduct. Second, we disposed of Mary’s finger sucking throughout a while and blurred utilization of the ball. Future research should concentrate on deciding the base measure of time important to smother this kind of conduct with the goal that the constriction method can be avoided in an auspicious way (</w:t>
      </w:r>
      <w:r>
        <w:rPr>
          <w:rFonts w:ascii="Times New Roman" w:cs="Times New Roman" w:hAnsi="Times New Roman"/>
          <w:sz w:val="24"/>
          <w:szCs w:val="24"/>
        </w:rPr>
        <w:t>Altundağ</w:t>
      </w:r>
      <w:r>
        <w:rPr>
          <w:rFonts w:ascii="Times New Roman" w:cs="Times New Roman" w:hAnsi="Times New Roman"/>
          <w:sz w:val="24"/>
          <w:szCs w:val="24"/>
        </w:rPr>
        <w:t xml:space="preserve"> 2018). Additionally, on the grounds that it is hard to separate between the conduct changes delivered by reinforcement dispute and strengthen substitutability, scientists should proceed without use techniques to reduce the incitement created by conduct kept up without socially intervened outcomes.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 conclusion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research proved that the habit of sucking fingers results from a number of stimuli. One of the major causes of the habit is such for pleasure when social support lacks. Therefore, children will opt for finger sucking in order to feel secure when alone or living in a socially unsupportive environment. Besides, different strategies and intervention procedures apply in the curbing of finger sucking habit. It means that two different children may respond differently to the same reinforcement. Thus, researchers, medical practitioners, and parents need to identify the suitable reinforce of their children’s thumb-sucking behavior because of the use of wrong therapy results </w:t>
      </w:r>
      <w:r>
        <w:rPr>
          <w:rFonts w:ascii="Times New Roman" w:cs="Times New Roman" w:hAnsi="Times New Roman"/>
          <w:sz w:val="24"/>
          <w:szCs w:val="24"/>
        </w:rPr>
        <w:t xml:space="preserve">to the hindrance of the children’s developmental process. I, therefore, urge future therapies to be thoroughly researched.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Woods, D. W., </w:t>
      </w:r>
      <w:r>
        <w:rPr>
          <w:rFonts w:ascii="Times New Roman" w:cs="Times New Roman" w:hAnsi="Times New Roman"/>
          <w:color w:val="222222"/>
          <w:sz w:val="24"/>
          <w:szCs w:val="24"/>
          <w:shd w:val="clear" w:color="auto" w:fill="ffffff"/>
        </w:rPr>
        <w:t>Miltenberger</w:t>
      </w:r>
      <w:r>
        <w:rPr>
          <w:rFonts w:ascii="Times New Roman" w:cs="Times New Roman" w:hAnsi="Times New Roman"/>
          <w:color w:val="222222"/>
          <w:sz w:val="24"/>
          <w:szCs w:val="24"/>
          <w:shd w:val="clear" w:color="auto" w:fill="ffffff"/>
        </w:rPr>
        <w:t xml:space="preserve">, R. G., &amp; </w:t>
      </w:r>
      <w:r>
        <w:rPr>
          <w:rFonts w:ascii="Times New Roman" w:cs="Times New Roman" w:hAnsi="Times New Roman"/>
          <w:color w:val="222222"/>
          <w:sz w:val="24"/>
          <w:szCs w:val="24"/>
          <w:shd w:val="clear" w:color="auto" w:fill="ffffff"/>
        </w:rPr>
        <w:t>Carr</w:t>
      </w:r>
      <w:r>
        <w:rPr>
          <w:rFonts w:ascii="Times New Roman" w:cs="Times New Roman" w:hAnsi="Times New Roman"/>
          <w:color w:val="222222"/>
          <w:sz w:val="24"/>
          <w:szCs w:val="24"/>
          <w:shd w:val="clear" w:color="auto" w:fill="ffffff"/>
        </w:rPr>
        <w:t>, J. E. (2006). Introduction to the special section on clinical behavior analysis. </w:t>
      </w:r>
      <w:r>
        <w:rPr>
          <w:rFonts w:ascii="Times New Roman" w:cs="Times New Roman" w:hAnsi="Times New Roman"/>
          <w:i/>
          <w:iCs/>
          <w:color w:val="222222"/>
          <w:sz w:val="24"/>
          <w:szCs w:val="24"/>
          <w:shd w:val="clear" w:color="auto" w:fill="ffffff"/>
        </w:rPr>
        <w:t>Journal of applied Behavior analysis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39</w:t>
      </w:r>
      <w:r>
        <w:rPr>
          <w:rFonts w:ascii="Times New Roman" w:cs="Times New Roman" w:hAnsi="Times New Roman"/>
          <w:color w:val="222222"/>
          <w:sz w:val="24"/>
          <w:szCs w:val="24"/>
          <w:shd w:val="clear" w:color="auto" w:fill="ffffff"/>
        </w:rPr>
        <w:t>(4), 407.</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Bishara</w:t>
      </w:r>
      <w:r>
        <w:rPr>
          <w:rFonts w:ascii="Times New Roman" w:cs="Times New Roman" w:hAnsi="Times New Roman"/>
          <w:color w:val="222222"/>
          <w:sz w:val="24"/>
          <w:szCs w:val="24"/>
          <w:shd w:val="clear" w:color="auto" w:fill="ffffff"/>
        </w:rPr>
        <w:t>, S. E., &amp; Larsson, E. (2007). FINGER HABITS: Their Effects and Their Treatments: Part 1. </w:t>
      </w:r>
      <w:r>
        <w:rPr>
          <w:rFonts w:ascii="Times New Roman" w:cs="Times New Roman" w:hAnsi="Times New Roman"/>
          <w:i/>
          <w:iCs/>
          <w:color w:val="222222"/>
          <w:sz w:val="24"/>
          <w:szCs w:val="24"/>
          <w:shd w:val="clear" w:color="auto" w:fill="ffffff"/>
        </w:rPr>
        <w:t>Dental Assistant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76</w:t>
      </w:r>
      <w:r>
        <w:rPr>
          <w:rFonts w:ascii="Times New Roman" w:cs="Times New Roman" w:hAnsi="Times New Roman"/>
          <w:color w:val="222222"/>
          <w:sz w:val="24"/>
          <w:szCs w:val="24"/>
          <w:shd w:val="clear" w:color="auto" w:fill="ffffff"/>
        </w:rPr>
        <w:t>(1), 14.</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Asadollahpour</w:t>
      </w:r>
      <w:r>
        <w:rPr>
          <w:rFonts w:ascii="Times New Roman" w:cs="Times New Roman" w:hAnsi="Times New Roman"/>
          <w:color w:val="222222"/>
          <w:sz w:val="24"/>
          <w:szCs w:val="24"/>
          <w:shd w:val="clear" w:color="auto" w:fill="ffffff"/>
        </w:rPr>
        <w:t xml:space="preserve">, F., </w:t>
      </w:r>
      <w:r>
        <w:rPr>
          <w:rFonts w:ascii="Times New Roman" w:cs="Times New Roman" w:hAnsi="Times New Roman"/>
          <w:color w:val="222222"/>
          <w:sz w:val="24"/>
          <w:szCs w:val="24"/>
          <w:shd w:val="clear" w:color="auto" w:fill="ffffff"/>
        </w:rPr>
        <w:t>Yadegari</w:t>
      </w:r>
      <w:r>
        <w:rPr>
          <w:rFonts w:ascii="Times New Roman" w:cs="Times New Roman" w:hAnsi="Times New Roman"/>
          <w:color w:val="222222"/>
          <w:sz w:val="24"/>
          <w:szCs w:val="24"/>
          <w:shd w:val="clear" w:color="auto" w:fill="ffffff"/>
        </w:rPr>
        <w:t xml:space="preserve">, F., </w:t>
      </w:r>
      <w:r>
        <w:rPr>
          <w:rFonts w:ascii="Times New Roman" w:cs="Times New Roman" w:hAnsi="Times New Roman"/>
          <w:color w:val="222222"/>
          <w:sz w:val="24"/>
          <w:szCs w:val="24"/>
          <w:shd w:val="clear" w:color="auto" w:fill="ffffff"/>
        </w:rPr>
        <w:t>Soleimani</w:t>
      </w:r>
      <w:r>
        <w:rPr>
          <w:rFonts w:ascii="Times New Roman" w:cs="Times New Roman" w:hAnsi="Times New Roman"/>
          <w:color w:val="222222"/>
          <w:sz w:val="24"/>
          <w:szCs w:val="24"/>
          <w:shd w:val="clear" w:color="auto" w:fill="ffffff"/>
        </w:rPr>
        <w:t xml:space="preserve">, F., &amp; </w:t>
      </w:r>
      <w:r>
        <w:rPr>
          <w:rFonts w:ascii="Times New Roman" w:cs="Times New Roman" w:hAnsi="Times New Roman"/>
          <w:color w:val="222222"/>
          <w:sz w:val="24"/>
          <w:szCs w:val="24"/>
          <w:shd w:val="clear" w:color="auto" w:fill="ffffff"/>
        </w:rPr>
        <w:t>Khalesi</w:t>
      </w:r>
      <w:r>
        <w:rPr>
          <w:rFonts w:ascii="Times New Roman" w:cs="Times New Roman" w:hAnsi="Times New Roman"/>
          <w:color w:val="222222"/>
          <w:sz w:val="24"/>
          <w:szCs w:val="24"/>
          <w:shd w:val="clear" w:color="auto" w:fill="ffffff"/>
        </w:rPr>
        <w:t>, N. (2015). The effects of non-nutritive sucking and pre-feeding oral stimulation on time to achieve independent oral feeding for preterm infants. </w:t>
      </w:r>
      <w:r>
        <w:rPr>
          <w:rFonts w:ascii="Times New Roman" w:cs="Times New Roman" w:hAnsi="Times New Roman"/>
          <w:i/>
          <w:iCs/>
          <w:color w:val="222222"/>
          <w:sz w:val="24"/>
          <w:szCs w:val="24"/>
          <w:shd w:val="clear" w:color="auto" w:fill="ffffff"/>
        </w:rPr>
        <w:t>Iranian journal of pediatrics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25</w:t>
      </w:r>
      <w:r>
        <w:rPr>
          <w:rFonts w:ascii="Times New Roman" w:cs="Times New Roman" w:hAnsi="Times New Roman"/>
          <w:color w:val="222222"/>
          <w:sz w:val="24"/>
          <w:szCs w:val="24"/>
          <w:shd w:val="clear" w:color="auto" w:fill="ffffff"/>
        </w:rPr>
        <w:t>(3).</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Tanaka, O., Oliveira, W., Galarza, M., Aoki, V., &amp; </w:t>
      </w:r>
      <w:r>
        <w:rPr>
          <w:rFonts w:ascii="Times New Roman" w:cs="Times New Roman" w:hAnsi="Times New Roman"/>
          <w:color w:val="222222"/>
          <w:sz w:val="24"/>
          <w:szCs w:val="24"/>
          <w:shd w:val="clear" w:color="auto" w:fill="ffffff"/>
        </w:rPr>
        <w:t>Bertaiolli</w:t>
      </w:r>
      <w:r>
        <w:rPr>
          <w:rFonts w:ascii="Times New Roman" w:cs="Times New Roman" w:hAnsi="Times New Roman"/>
          <w:color w:val="222222"/>
          <w:sz w:val="24"/>
          <w:szCs w:val="24"/>
          <w:shd w:val="clear" w:color="auto" w:fill="ffffff"/>
        </w:rPr>
        <w:t>, B. (2016). Breaking the thumb sucking habit: When compliance is essential. </w:t>
      </w:r>
      <w:r>
        <w:rPr>
          <w:rFonts w:ascii="Times New Roman" w:cs="Times New Roman" w:hAnsi="Times New Roman"/>
          <w:i/>
          <w:iCs/>
          <w:color w:val="222222"/>
          <w:sz w:val="24"/>
          <w:szCs w:val="24"/>
          <w:shd w:val="clear" w:color="auto" w:fill="ffffff"/>
        </w:rPr>
        <w:t>Case reports in dentistry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2016</w:t>
      </w:r>
      <w:r>
        <w:rPr>
          <w:rFonts w:ascii="Times New Roman" w:cs="Times New Roman" w:hAnsi="Times New Roman"/>
          <w:color w:val="222222"/>
          <w:sz w:val="24"/>
          <w:szCs w:val="24"/>
          <w:shd w:val="clear" w:color="auto" w:fill="ffffff"/>
        </w:rPr>
        <w:t>.</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Yadav, A. (2017). Behavioral Treatment Strategy for Early Onset of </w:t>
      </w:r>
      <w:r>
        <w:rPr>
          <w:rFonts w:ascii="Times New Roman" w:cs="Times New Roman" w:hAnsi="Times New Roman"/>
          <w:color w:val="222222"/>
          <w:sz w:val="24"/>
          <w:szCs w:val="24"/>
          <w:shd w:val="clear" w:color="auto" w:fill="ffffff"/>
        </w:rPr>
        <w:t>Tricho</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llomania</w:t>
      </w:r>
      <w:r>
        <w:rPr>
          <w:rFonts w:ascii="Times New Roman" w:cs="Times New Roman" w:hAnsi="Times New Roman"/>
          <w:color w:val="222222"/>
          <w:sz w:val="24"/>
          <w:szCs w:val="24"/>
          <w:shd w:val="clear" w:color="auto" w:fill="ffffff"/>
        </w:rPr>
        <w:t xml:space="preserve"> with Simultaneous Thumb Sucking.</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Altundağ</w:t>
      </w:r>
      <w:r>
        <w:rPr>
          <w:rFonts w:ascii="Times New Roman" w:cs="Times New Roman" w:hAnsi="Times New Roman"/>
          <w:color w:val="222222"/>
          <w:sz w:val="24"/>
          <w:szCs w:val="24"/>
          <w:shd w:val="clear" w:color="auto" w:fill="ffffff"/>
        </w:rPr>
        <w:t xml:space="preserve">, Y. (2018). </w:t>
      </w:r>
      <w:r>
        <w:rPr>
          <w:rFonts w:ascii="Times New Roman" w:cs="Times New Roman" w:hAnsi="Times New Roman"/>
          <w:color w:val="222222"/>
          <w:sz w:val="24"/>
          <w:szCs w:val="24"/>
          <w:shd w:val="clear" w:color="auto" w:fill="ffffff"/>
        </w:rPr>
        <w:t>Çocuklarda</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Parmak</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Emme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Davranışı</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Ege</w:t>
      </w:r>
      <w:r>
        <w:rPr>
          <w:rFonts w:ascii="Times New Roman" w:cs="Times New Roman" w:hAnsi="Times New Roman"/>
          <w:i/>
          <w:iCs/>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Bilimsel</w:t>
      </w:r>
      <w:r>
        <w:rPr>
          <w:rFonts w:ascii="Times New Roman" w:cs="Times New Roman" w:hAnsi="Times New Roman"/>
          <w:i/>
          <w:iCs/>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Araştırmalar</w:t>
      </w:r>
      <w:r>
        <w:rPr>
          <w:rFonts w:ascii="Times New Roman" w:cs="Times New Roman" w:hAnsi="Times New Roman"/>
          <w:i/>
          <w:iCs/>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Dergisi</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w:t>
      </w:r>
      <w:r>
        <w:rPr>
          <w:rFonts w:ascii="Times New Roman" w:cs="Times New Roman" w:hAnsi="Times New Roman"/>
          <w:color w:val="222222"/>
          <w:sz w:val="24"/>
          <w:szCs w:val="24"/>
          <w:shd w:val="clear" w:color="auto" w:fill="ffffff"/>
        </w:rPr>
        <w:t>(1), 28-36.</w:t>
      </w:r>
    </w:p>
    <w:sectPr>
      <w:headerReference w:type="default" r:id="rId11"/>
      <w:headerReference w:type="first" r:id="rId12"/>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ABA THERAPY FOR THUMB SUCKING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9</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ABA THERAPY FOR THUMB SUCKING</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9F688FA"/>
    <w:lvl w:ilvl="0" w:tplc="7F3C81A8">
      <w:start w:val="1"/>
      <w:numFmt w:val="lowerLetter"/>
      <w:lvlText w:val="%1."/>
      <w:lvlJc w:val="left"/>
      <w:pPr>
        <w:ind w:left="765" w:hanging="4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0000001"/>
    <w:multiLevelType w:val="hybridMultilevel"/>
    <w:tmpl w:val="9ADEA34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0000002"/>
    <w:multiLevelType w:val="hybridMultilevel"/>
    <w:tmpl w:val="CA78EFF0"/>
    <w:lvl w:ilvl="0" w:tplc="10090019">
      <w:start w:val="1"/>
      <w:numFmt w:val="lowerLetter"/>
      <w:lvlText w:val="%1."/>
      <w:lvlJc w:val="left"/>
      <w:pPr>
        <w:ind w:left="720" w:hanging="360"/>
      </w:pPr>
      <w:rPr>
        <w:rFonts w:hint="default"/>
        <w:i w:val="fals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0000003"/>
    <w:multiLevelType w:val="hybridMultilevel"/>
    <w:tmpl w:val="5BDEB9D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0000004"/>
    <w:multiLevelType w:val="hybridMultilevel"/>
    <w:tmpl w:val="8ECA41C8"/>
    <w:lvl w:ilvl="0" w:tplc="74E85B9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0000005"/>
    <w:multiLevelType w:val="hybridMultilevel"/>
    <w:tmpl w:val="5D9EF45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00000006"/>
    <w:multiLevelType w:val="hybridMultilevel"/>
    <w:tmpl w:val="C4BACA5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00000007"/>
    <w:multiLevelType w:val="hybridMultilevel"/>
    <w:tmpl w:val="CCDA6F28"/>
    <w:lvl w:ilvl="0" w:tplc="E7F07D20">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00000008"/>
    <w:multiLevelType w:val="hybridMultilevel"/>
    <w:tmpl w:val="915283C4"/>
    <w:lvl w:ilvl="0" w:tplc="39E0D72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00000009"/>
    <w:multiLevelType w:val="hybridMultilevel"/>
    <w:tmpl w:val="6FA239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0000000A"/>
    <w:multiLevelType w:val="hybridMultilevel"/>
    <w:tmpl w:val="B672E9B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6"/>
  </w:num>
  <w:num w:numId="5">
    <w:abstractNumId w:val="4"/>
  </w:num>
  <w:num w:numId="6">
    <w:abstractNumId w:val="8"/>
  </w:num>
  <w:num w:numId="7">
    <w:abstractNumId w:val="10"/>
  </w:num>
  <w:num w:numId="8">
    <w:abstractNumId w:val="9"/>
  </w:num>
  <w:num w:numId="9">
    <w:abstractNumId w:val="7"/>
  </w:num>
  <w:num w:numId="10">
    <w:abstractNumId w:val="3"/>
  </w:num>
  <w:num w:numId="11">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c1f84f3-b50d-45a1-a5ad-44b841e0542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6e9610b-0f9c-47df-b97d-43bbefd4644b"/>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1.jpeg"/><Relationship Id="rId13" Type="http://schemas.openxmlformats.org/officeDocument/2006/relationships/styles" Target="styles.xml"/><Relationship Id="rId12" Type="http://schemas.openxmlformats.org/officeDocument/2006/relationships/header" Target="header2.xml"/><Relationship Id="rId1" Type="http://schemas.openxmlformats.org/officeDocument/2006/relationships/numbering" Target="numbering.xml"/><Relationship Id="rId2" Type="http://schemas.openxmlformats.org/officeDocument/2006/relationships/chart" Target="charts/chart1.xml"/><Relationship Id="rId3" Type="http://schemas.openxmlformats.org/officeDocument/2006/relationships/chart" Target="charts/chart2.xml"/><Relationship Id="rId4" Type="http://schemas.openxmlformats.org/officeDocument/2006/relationships/chart" Target="charts/chart3.xml"/><Relationship Id="rId9" Type="http://schemas.openxmlformats.org/officeDocument/2006/relationships/chart" Target="charts/chart8.xml"/><Relationship Id="rId15" Type="http://schemas.openxmlformats.org/officeDocument/2006/relationships/settings" Target="settings.xml"/><Relationship Id="rId14" Type="http://schemas.openxmlformats.org/officeDocument/2006/relationships/fontTable" Target="fontTable.xml"/><Relationship Id="rId16" Type="http://schemas.openxmlformats.org/officeDocument/2006/relationships/theme" Target="theme/theme1.xml"/><Relationship Id="rId5" Type="http://schemas.openxmlformats.org/officeDocument/2006/relationships/chart" Target="charts/chart4.xml"/><Relationship Id="rId6" Type="http://schemas.openxmlformats.org/officeDocument/2006/relationships/chart" Target="charts/chart5.xml"/><Relationship Id="rId7" Type="http://schemas.openxmlformats.org/officeDocument/2006/relationships/chart" Target="charts/chart6.xml"/><Relationship Id="rId8" Type="http://schemas.openxmlformats.org/officeDocument/2006/relationships/chart" Target="charts/chart7.xml"/></Relationships>
</file>

<file path=word/charts/_rels/chart1.xml.rels><?xml version="1.0" encoding="UTF-8"?>
<Relationships xmlns="http://schemas.openxmlformats.org/package/2006/relationships"><Relationship Id="rId1" Type="http://schemas.openxmlformats.org/officeDocument/2006/relationships/oleObject" TargetMode="External" Target="Book1"/><Relationship Id="rId2" Type="http://schemas.microsoft.com/office/2011/relationships/chartStyle" Target="style7.xml"/><Relationship Id="rId3" Type="http://schemas.microsoft.com/office/2011/relationships/chartColorStyle" Target="colors7.xml"/></Relationships>
</file>

<file path=word/charts/_rels/chart2.xml.rels><?xml version="1.0" encoding="UTF-8"?>
<Relationships xmlns="http://schemas.openxmlformats.org/package/2006/relationships"><Relationship Id="rId1" Type="http://schemas.openxmlformats.org/officeDocument/2006/relationships/oleObject" TargetMode="External" Target="Book1"/><Relationship Id="rId2" Type="http://schemas.microsoft.com/office/2011/relationships/chartStyle" Target="style4.xml"/><Relationship Id="rId3" Type="http://schemas.microsoft.com/office/2011/relationships/chartColorStyle" Target="colors4.xml"/></Relationships>
</file>

<file path=word/charts/_rels/chart3.xml.rels><?xml version="1.0" encoding="UTF-8"?>
<Relationships xmlns="http://schemas.openxmlformats.org/package/2006/relationships"><Relationship Id="rId1" Type="http://schemas.openxmlformats.org/officeDocument/2006/relationships/oleObject" TargetMode="External" Target="Book1"/><Relationship Id="rId2" Type="http://schemas.microsoft.com/office/2011/relationships/chartStyle" Target="style2.xml"/><Relationship Id="rId3" Type="http://schemas.microsoft.com/office/2011/relationships/chartColorStyle" Target="colors2.xml"/></Relationships>
</file>

<file path=word/charts/_rels/chart4.xml.rels><?xml version="1.0" encoding="UTF-8"?>
<Relationships xmlns="http://schemas.openxmlformats.org/package/2006/relationships"><Relationship Id="rId1" Type="http://schemas.openxmlformats.org/officeDocument/2006/relationships/oleObject" TargetMode="External" Target="Book1"/><Relationship Id="rId2" Type="http://schemas.microsoft.com/office/2011/relationships/chartStyle" Target="style8.xml"/><Relationship Id="rId3" Type="http://schemas.microsoft.com/office/2011/relationships/chartColorStyle" Target="colors8.xml"/></Relationships>
</file>

<file path=word/charts/_rels/chart5.xml.rels><?xml version="1.0" encoding="UTF-8"?>
<Relationships xmlns="http://schemas.openxmlformats.org/package/2006/relationships"><Relationship Id="rId1" Type="http://schemas.openxmlformats.org/officeDocument/2006/relationships/oleObject" TargetMode="External" Target="Book1"/><Relationship Id="rId2" Type="http://schemas.microsoft.com/office/2011/relationships/chartStyle" Target="style6.xml"/><Relationship Id="rId3" Type="http://schemas.microsoft.com/office/2011/relationships/chartColorStyle" Target="colors6.xml"/></Relationships>
</file>

<file path=word/charts/_rels/chart6.xml.rels><?xml version="1.0" encoding="UTF-8"?>
<Relationships xmlns="http://schemas.openxmlformats.org/package/2006/relationships"><Relationship Id="rId1" Type="http://schemas.openxmlformats.org/officeDocument/2006/relationships/oleObject" TargetMode="External" Target="Book1"/><Relationship Id="rId2" Type="http://schemas.microsoft.com/office/2011/relationships/chartStyle" Target="style5.xml"/><Relationship Id="rId3" Type="http://schemas.microsoft.com/office/2011/relationships/chartColorStyle" Target="colors5.xml"/></Relationships>
</file>

<file path=word/charts/_rels/chart7.xml.rels><?xml version="1.0" encoding="UTF-8"?>
<Relationships xmlns="http://schemas.openxmlformats.org/package/2006/relationships"><Relationship Id="rId1" Type="http://schemas.openxmlformats.org/officeDocument/2006/relationships/oleObject" TargetMode="External" Target="Book1"/><Relationship Id="rId2" Type="http://schemas.microsoft.com/office/2011/relationships/chartStyle" Target="style1.xml"/><Relationship Id="rId3" Type="http://schemas.microsoft.com/office/2011/relationships/chartColorStyle" Target="colors1.xml"/></Relationships>
</file>

<file path=word/charts/_rels/chart8.xml.rels><?xml version="1.0" encoding="UTF-8"?>
<Relationships xmlns="http://schemas.openxmlformats.org/package/2006/relationships"><Relationship Id="rId1" Type="http://schemas.openxmlformats.org/officeDocument/2006/relationships/oleObject" TargetMode="External" Target="Book1"/><Relationship Id="rId2" Type="http://schemas.microsoft.com/office/2011/relationships/chartStyle" Target="style3.xml"/><Relationship Id="rId3" Type="http://schemas.microsoft.com/office/2011/relationships/chartColorStyle" Target="colors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Attention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Sheet1!$M$1:$M$11</c:f>
              <c:numCache>
                <c:formatCode>General</c:formatCode>
                <c:ptCount val="11"/>
                <c:pt idx="0">
                  <c:v>5.0</c:v>
                </c:pt>
                <c:pt idx="1">
                  <c:v>6.0</c:v>
                </c:pt>
                <c:pt idx="2">
                  <c:v>7.0</c:v>
                </c:pt>
                <c:pt idx="3">
                  <c:v>8.0</c:v>
                </c:pt>
                <c:pt idx="4">
                  <c:v>9.0</c:v>
                </c:pt>
                <c:pt idx="5">
                  <c:v>10.0</c:v>
                </c:pt>
                <c:pt idx="6">
                  <c:v>11.0</c:v>
                </c:pt>
                <c:pt idx="7">
                  <c:v>12.0</c:v>
                </c:pt>
                <c:pt idx="8">
                  <c:v>13.0</c:v>
                </c:pt>
                <c:pt idx="9">
                  <c:v>14.0</c:v>
                </c:pt>
                <c:pt idx="10">
                  <c:v>15.0</c:v>
                </c:pt>
              </c:numCache>
            </c:numRef>
          </c:xVal>
          <c:yVal>
            <c:numRef>
              <c:f>Sheet1!$N$1:$N$11</c:f>
              <c:numCache>
                <c:formatCode>General</c:formatCode>
                <c:ptCount val="11"/>
                <c:pt idx="0">
                  <c:v>50.0</c:v>
                </c:pt>
                <c:pt idx="1">
                  <c:v>45.0</c:v>
                </c:pt>
                <c:pt idx="2">
                  <c:v>40.0</c:v>
                </c:pt>
                <c:pt idx="3">
                  <c:v>35.0</c:v>
                </c:pt>
                <c:pt idx="4">
                  <c:v>30.0</c:v>
                </c:pt>
                <c:pt idx="5">
                  <c:v>25.0</c:v>
                </c:pt>
                <c:pt idx="6">
                  <c:v>20.0</c:v>
                </c:pt>
                <c:pt idx="7">
                  <c:v>15.0</c:v>
                </c:pt>
                <c:pt idx="8">
                  <c:v>10.0</c:v>
                </c:pt>
                <c:pt idx="9">
                  <c:v>5.0</c:v>
                </c:pt>
                <c:pt idx="10">
                  <c:v>0.0</c:v>
                </c:pt>
              </c:numCache>
            </c:numRef>
          </c:yVal>
          <c:smooth val="0"/>
        </c:ser>
        <c:dLbls>
          <c:showLegendKey val="0"/>
          <c:showVal val="0"/>
          <c:showCatName val="0"/>
          <c:showSerName val="0"/>
          <c:showPercent val="0"/>
          <c:showBubbleSize val="0"/>
        </c:dLbls>
        <c:axId val="121673408"/>
        <c:axId val="121676320"/>
      </c:scatterChart>
      <c:valAx>
        <c:axId val="1216734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Jane</a:t>
                </a:r>
                <a:endParaRPr lang="en-GB" sz="12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676320"/>
        <c:crosses val="autoZero"/>
        <c:crossBetween val="midCat"/>
      </c:valAx>
      <c:valAx>
        <c:axId val="121676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6734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Alone/Fingers Free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Sheet1!$L$1:$L$3</c:f>
              <c:numCache>
                <c:formatCode>General</c:formatCode>
                <c:ptCount val="3"/>
                <c:pt idx="0">
                  <c:v>75.0</c:v>
                </c:pt>
                <c:pt idx="1">
                  <c:v>75.0</c:v>
                </c:pt>
                <c:pt idx="2">
                  <c:v>90.0</c:v>
                </c:pt>
              </c:numCache>
            </c:numRef>
          </c:val>
          <c:smooth val="0"/>
        </c:ser>
        <c:dLbls>
          <c:showLegendKey val="0"/>
          <c:showVal val="0"/>
          <c:showCatName val="0"/>
          <c:showSerName val="0"/>
          <c:showPercent val="0"/>
          <c:showBubbleSize val="0"/>
        </c:dLbls>
        <c:marker val="1"/>
        <c:smooth val="0"/>
        <c:axId val="2056027408"/>
        <c:axId val="2056012848"/>
      </c:lineChart>
      <c:catAx>
        <c:axId val="20560274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a:t>Functional</a:t>
                </a:r>
                <a:r>
                  <a:rPr lang="en-GB" sz="1200" b="1" baseline="0"/>
                  <a:t> Analysis for Jane</a:t>
                </a:r>
                <a:endParaRPr lang="en-GB" sz="1200" b="1"/>
              </a:p>
            </c:rich>
          </c:tx>
          <c:layout>
            <c:manualLayout>
              <c:xMode val="edge"/>
              <c:yMode val="edge"/>
              <c:x val="0.3166150108895963"/>
              <c:y val="0.887954334454370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12848"/>
        <c:crosses val="autoZero"/>
        <c:auto val="1"/>
        <c:lblAlgn val="ctr"/>
        <c:lblOffset val="100"/>
        <c:noMultiLvlLbl val="0"/>
      </c:catAx>
      <c:valAx>
        <c:axId val="2056012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a:t>%</a:t>
                </a:r>
                <a:r>
                  <a:rPr lang="en-GB" sz="1200" b="1" baseline="0"/>
                  <a:t> duration of finger sucking</a:t>
                </a:r>
                <a:endParaRPr lang="en-GB" sz="1200"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27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Control</a:t>
            </a:r>
            <a:r>
              <a:rPr lang="en-GB" b="1" baseline="0"/>
              <a:t> while awake</a:t>
            </a:r>
            <a:endParaRPr lang="en-GB"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Sheet1!$Q$1:$Q$4</c:f>
              <c:numCache>
                <c:formatCode>General</c:formatCode>
                <c:ptCount val="4"/>
                <c:pt idx="0">
                  <c:v>0.0</c:v>
                </c:pt>
                <c:pt idx="1">
                  <c:v>0.0</c:v>
                </c:pt>
                <c:pt idx="2">
                  <c:v>0.0</c:v>
                </c:pt>
                <c:pt idx="3">
                  <c:v>0.0</c:v>
                </c:pt>
              </c:numCache>
            </c:numRef>
          </c:val>
          <c:smooth val="0"/>
        </c:ser>
        <c:dLbls>
          <c:showLegendKey val="0"/>
          <c:showVal val="0"/>
          <c:showCatName val="0"/>
          <c:showSerName val="0"/>
          <c:showPercent val="0"/>
          <c:showBubbleSize val="0"/>
        </c:dLbls>
        <c:marker val="1"/>
        <c:smooth val="0"/>
        <c:axId val="2056013264"/>
        <c:axId val="2056017424"/>
      </c:lineChart>
      <c:catAx>
        <c:axId val="20560132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Jane</a:t>
                </a:r>
                <a:endParaRPr lang="en-GB" sz="12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17424"/>
        <c:crosses val="autoZero"/>
        <c:auto val="1"/>
        <c:lblAlgn val="ctr"/>
        <c:lblOffset val="100"/>
        <c:noMultiLvlLbl val="0"/>
      </c:catAx>
      <c:valAx>
        <c:axId val="205601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13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Control</a:t>
            </a:r>
            <a:r>
              <a:rPr lang="en-GB" b="1" baseline="0"/>
              <a:t> while napping</a:t>
            </a:r>
            <a:endParaRPr lang="en-GB"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Sheet1!$Q$1:$Q$4</c:f>
              <c:numCache>
                <c:formatCode>General</c:formatCode>
                <c:ptCount val="4"/>
                <c:pt idx="0">
                  <c:v>0.0</c:v>
                </c:pt>
                <c:pt idx="1">
                  <c:v>0.0</c:v>
                </c:pt>
                <c:pt idx="2">
                  <c:v>0.0</c:v>
                </c:pt>
                <c:pt idx="3">
                  <c:v>0.0</c:v>
                </c:pt>
              </c:numCache>
            </c:numRef>
          </c:val>
          <c:smooth val="0"/>
        </c:ser>
        <c:dLbls>
          <c:showLegendKey val="0"/>
          <c:showVal val="0"/>
          <c:showCatName val="0"/>
          <c:showSerName val="0"/>
          <c:showPercent val="0"/>
          <c:showBubbleSize val="0"/>
        </c:dLbls>
        <c:marker val="1"/>
        <c:smooth val="0"/>
        <c:axId val="2056013264"/>
        <c:axId val="2056017424"/>
      </c:lineChart>
      <c:catAx>
        <c:axId val="20560132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Jane</a:t>
                </a:r>
                <a:endParaRPr lang="en-GB" sz="1200">
                  <a:effectLst/>
                </a:endParaRPr>
              </a:p>
            </c:rich>
          </c:tx>
          <c:layout>
            <c:manualLayout>
              <c:xMode val="edge"/>
              <c:yMode val="edge"/>
              <c:x val="0.2770404636920385"/>
              <c:y val="0.874956415119642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17424"/>
        <c:crosses val="autoZero"/>
        <c:auto val="1"/>
        <c:lblAlgn val="ctr"/>
        <c:lblOffset val="100"/>
        <c:noMultiLvlLbl val="0"/>
      </c:catAx>
      <c:valAx>
        <c:axId val="205601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13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Control while Napping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Sheet1!$D$1:$D$6</c:f>
              <c:numCache>
                <c:formatCode>General</c:formatCode>
                <c:ptCount val="6"/>
                <c:pt idx="0">
                  <c:v>45.0</c:v>
                </c:pt>
                <c:pt idx="1">
                  <c:v>43.5</c:v>
                </c:pt>
                <c:pt idx="2">
                  <c:v>42.0</c:v>
                </c:pt>
                <c:pt idx="3">
                  <c:v>40.5</c:v>
                </c:pt>
                <c:pt idx="4">
                  <c:v>39.0</c:v>
                </c:pt>
                <c:pt idx="5">
                  <c:v>37.5</c:v>
                </c:pt>
              </c:numCache>
            </c:numRef>
          </c:val>
          <c:smooth val="0"/>
        </c:ser>
        <c:dLbls>
          <c:showLegendKey val="0"/>
          <c:showVal val="0"/>
          <c:showCatName val="0"/>
          <c:showSerName val="0"/>
          <c:showPercent val="0"/>
          <c:showBubbleSize val="0"/>
        </c:dLbls>
        <c:marker val="1"/>
        <c:smooth val="0"/>
        <c:axId val="121675904"/>
        <c:axId val="121666336"/>
      </c:lineChart>
      <c:catAx>
        <c:axId val="121675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Mary</a:t>
                </a:r>
                <a:endParaRPr lang="en-GB" sz="12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666336"/>
        <c:crosses val="autoZero"/>
        <c:auto val="1"/>
        <c:lblAlgn val="ctr"/>
        <c:lblOffset val="100"/>
        <c:noMultiLvlLbl val="0"/>
      </c:catAx>
      <c:valAx>
        <c:axId val="121666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675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Alone/Finger</a:t>
            </a:r>
            <a:r>
              <a:rPr lang="en-GB" b="1" baseline="0"/>
              <a:t> Free</a:t>
            </a:r>
            <a:endParaRPr lang="en-GB"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Sheet1!$F$1:$F$3</c:f>
              <c:numCache>
                <c:formatCode>General</c:formatCode>
                <c:ptCount val="3"/>
                <c:pt idx="0">
                  <c:v>50.0</c:v>
                </c:pt>
                <c:pt idx="1">
                  <c:v>50.0</c:v>
                </c:pt>
                <c:pt idx="2">
                  <c:v>45.0</c:v>
                </c:pt>
              </c:numCache>
            </c:numRef>
          </c:val>
          <c:smooth val="0"/>
        </c:ser>
        <c:dLbls>
          <c:showLegendKey val="0"/>
          <c:showVal val="0"/>
          <c:showCatName val="0"/>
          <c:showSerName val="0"/>
          <c:showPercent val="0"/>
          <c:showBubbleSize val="0"/>
        </c:dLbls>
        <c:marker val="1"/>
        <c:smooth val="0"/>
        <c:axId val="2045249440"/>
        <c:axId val="2045246528"/>
      </c:lineChart>
      <c:catAx>
        <c:axId val="20452494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Mary</a:t>
                </a:r>
                <a:endParaRPr lang="en-GB" sz="12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5246528"/>
        <c:crosses val="autoZero"/>
        <c:auto val="1"/>
        <c:lblAlgn val="ctr"/>
        <c:lblOffset val="100"/>
        <c:noMultiLvlLbl val="0"/>
      </c:catAx>
      <c:valAx>
        <c:axId val="2045246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5249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Attention Condition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Sheet1!$I$1:$I$6</c:f>
              <c:numCache>
                <c:formatCode>General</c:formatCode>
                <c:ptCount val="6"/>
                <c:pt idx="0">
                  <c:v>4.0</c:v>
                </c:pt>
                <c:pt idx="1">
                  <c:v>7.0</c:v>
                </c:pt>
                <c:pt idx="2">
                  <c:v>11.0</c:v>
                </c:pt>
                <c:pt idx="3">
                  <c:v>13.0</c:v>
                </c:pt>
                <c:pt idx="4">
                  <c:v>14.0</c:v>
                </c:pt>
                <c:pt idx="5">
                  <c:v>15.0</c:v>
                </c:pt>
              </c:numCache>
            </c:numRef>
          </c:xVal>
          <c:yVal>
            <c:numRef>
              <c:f>Sheet1!$J$1:$J$6</c:f>
              <c:numCache>
                <c:formatCode>General</c:formatCode>
                <c:ptCount val="6"/>
                <c:pt idx="0">
                  <c:v>45.0</c:v>
                </c:pt>
                <c:pt idx="1">
                  <c:v>42.0</c:v>
                </c:pt>
                <c:pt idx="2">
                  <c:v>35.0</c:v>
                </c:pt>
                <c:pt idx="3">
                  <c:v>30.0</c:v>
                </c:pt>
                <c:pt idx="4">
                  <c:v>20.0</c:v>
                </c:pt>
                <c:pt idx="5">
                  <c:v>0.0</c:v>
                </c:pt>
              </c:numCache>
            </c:numRef>
          </c:yVal>
          <c:smooth val="1"/>
        </c:ser>
        <c:dLbls>
          <c:showLegendKey val="0"/>
          <c:showVal val="0"/>
          <c:showCatName val="0"/>
          <c:showSerName val="0"/>
          <c:showPercent val="0"/>
          <c:showBubbleSize val="0"/>
        </c:dLbls>
        <c:axId val="2056022416"/>
        <c:axId val="2056014512"/>
      </c:scatterChart>
      <c:valAx>
        <c:axId val="2056022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Mary</a:t>
                </a:r>
                <a:endParaRPr lang="en-GB" sz="12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14512"/>
        <c:crosses val="autoZero"/>
        <c:crossBetween val="midCat"/>
      </c:valAx>
      <c:valAx>
        <c:axId val="2056014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224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Control</a:t>
            </a:r>
            <a:r>
              <a:rPr lang="en-GB" b="1" baseline="0"/>
              <a:t> while awake</a:t>
            </a:r>
            <a:endParaRPr lang="en-GB"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Sheet1!$Q$1:$Q$4</c:f>
              <c:numCache>
                <c:formatCode>General</c:formatCode>
                <c:ptCount val="4"/>
                <c:pt idx="0">
                  <c:v>0.0</c:v>
                </c:pt>
                <c:pt idx="1">
                  <c:v>0.0</c:v>
                </c:pt>
                <c:pt idx="2">
                  <c:v>0.0</c:v>
                </c:pt>
                <c:pt idx="3">
                  <c:v>0.0</c:v>
                </c:pt>
              </c:numCache>
            </c:numRef>
          </c:val>
          <c:smooth val="0"/>
        </c:ser>
        <c:dLbls>
          <c:showLegendKey val="0"/>
          <c:showVal val="0"/>
          <c:showCatName val="0"/>
          <c:showSerName val="0"/>
          <c:showPercent val="0"/>
          <c:showBubbleSize val="0"/>
        </c:dLbls>
        <c:marker val="1"/>
        <c:smooth val="0"/>
        <c:axId val="2056013264"/>
        <c:axId val="2056017424"/>
      </c:lineChart>
      <c:catAx>
        <c:axId val="20560132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Mary</a:t>
                </a:r>
                <a:endParaRPr lang="en-GB" sz="12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17424"/>
        <c:crosses val="autoZero"/>
        <c:auto val="1"/>
        <c:lblAlgn val="ctr"/>
        <c:lblOffset val="100"/>
        <c:noMultiLvlLbl val="0"/>
      </c:catAx>
      <c:valAx>
        <c:axId val="2056017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6013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3034</Words>
  <Pages>17</Pages>
  <Characters>16398</Characters>
  <Application>WPS Office</Application>
  <DocSecurity>0</DocSecurity>
  <Paragraphs>104</Paragraphs>
  <ScaleCrop>false</ScaleCrop>
  <LinksUpToDate>false</LinksUpToDate>
  <CharactersWithSpaces>19523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2019-07-29T14:47:58Z</dcterms:created>
  <dc:creator>TECRA_M11</dc:creator>
  <lastModifiedBy>JKM-LX1</lastModifiedBy>
  <dcterms:modified xsi:type="dcterms:W3CDTF">2019-07-29T14:47:59Z</dcterms:modified>
  <revision>4</revision>
</coreProperties>
</file>

<file path=docProps/custom.xml><?xml version="1.0" encoding="utf-8"?>
<Properties xmlns="http://schemas.openxmlformats.org/officeDocument/2006/custom-properties" xmlns:vt="http://schemas.openxmlformats.org/officeDocument/2006/docPropsVTypes"/>
</file>